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13592" w:type="dxa"/>
        <w:tblLook w:val="04A0" w:firstRow="1" w:lastRow="0" w:firstColumn="1" w:lastColumn="0" w:noHBand="0" w:noVBand="1"/>
      </w:tblPr>
      <w:tblGrid>
        <w:gridCol w:w="704"/>
        <w:gridCol w:w="2977"/>
        <w:gridCol w:w="5245"/>
        <w:gridCol w:w="4666"/>
      </w:tblGrid>
      <w:tr w:rsidR="005815AE" w:rsidRPr="00600CF6" w14:paraId="3075AA2E" w14:textId="77777777" w:rsidTr="00D616C7">
        <w:tc>
          <w:tcPr>
            <w:tcW w:w="704" w:type="dxa"/>
          </w:tcPr>
          <w:p w14:paraId="044EE970" w14:textId="3DBD246C" w:rsidR="005815AE" w:rsidRPr="005815AE" w:rsidRDefault="005815AE">
            <w:pPr>
              <w:rPr>
                <w:lang w:val="ru-RU"/>
              </w:rPr>
            </w:pPr>
          </w:p>
        </w:tc>
        <w:tc>
          <w:tcPr>
            <w:tcW w:w="2977" w:type="dxa"/>
          </w:tcPr>
          <w:p w14:paraId="625E3039" w14:textId="1C004E18" w:rsidR="005815AE" w:rsidRPr="00600CF6" w:rsidRDefault="00600CF6">
            <w:pPr>
              <w:rPr>
                <w:lang w:val="ru-RU"/>
              </w:rPr>
            </w:pPr>
            <w:r w:rsidRPr="00600CF6">
              <w:rPr>
                <w:lang w:val="ru-RU"/>
              </w:rPr>
              <w:t>Сыбайлас жемқорлық тәуекелі жоғары лауазым</w:t>
            </w:r>
          </w:p>
        </w:tc>
        <w:tc>
          <w:tcPr>
            <w:tcW w:w="5245" w:type="dxa"/>
          </w:tcPr>
          <w:p w14:paraId="526CDFEF" w14:textId="26DCBB91" w:rsidR="005815AE" w:rsidRPr="00600CF6" w:rsidRDefault="00600CF6">
            <w:pPr>
              <w:rPr>
                <w:lang w:val="ru-RU"/>
              </w:rPr>
            </w:pPr>
            <w:r w:rsidRPr="00600CF6">
              <w:rPr>
                <w:lang w:val="ru-RU"/>
              </w:rPr>
              <w:t>Сыбайлас жемқорлық тәуекелдері бар лауазымдық өкілеттіктер</w:t>
            </w:r>
          </w:p>
        </w:tc>
        <w:tc>
          <w:tcPr>
            <w:tcW w:w="4666" w:type="dxa"/>
          </w:tcPr>
          <w:p w14:paraId="35D7BCE0" w14:textId="5B956A7B" w:rsidR="005815AE" w:rsidRPr="005815AE" w:rsidRDefault="00600CF6">
            <w:pPr>
              <w:rPr>
                <w:lang w:val="ru-RU"/>
              </w:rPr>
            </w:pPr>
            <w:r w:rsidRPr="00600CF6">
              <w:t>Сыбайлас жемқорлық тәуекелдері</w:t>
            </w:r>
          </w:p>
        </w:tc>
      </w:tr>
      <w:tr w:rsidR="005815AE" w:rsidRPr="00600CF6" w14:paraId="75C37D33" w14:textId="77777777" w:rsidTr="00D616C7">
        <w:tc>
          <w:tcPr>
            <w:tcW w:w="704" w:type="dxa"/>
          </w:tcPr>
          <w:p w14:paraId="2D0E6128" w14:textId="10D74FDE" w:rsidR="005815AE" w:rsidRPr="005815AE" w:rsidRDefault="005815AE">
            <w:pPr>
              <w:rPr>
                <w:lang w:val="ru-RU"/>
              </w:rPr>
            </w:pPr>
          </w:p>
        </w:tc>
        <w:tc>
          <w:tcPr>
            <w:tcW w:w="2977" w:type="dxa"/>
          </w:tcPr>
          <w:p w14:paraId="1BB20916" w14:textId="5783EF96" w:rsidR="005815AE" w:rsidRPr="005815AE" w:rsidRDefault="00600CF6">
            <w:pPr>
              <w:rPr>
                <w:lang w:val="ru-RU"/>
              </w:rPr>
            </w:pPr>
            <w:r w:rsidRPr="00600CF6">
              <w:t>Мекеме директоры</w:t>
            </w:r>
          </w:p>
        </w:tc>
        <w:tc>
          <w:tcPr>
            <w:tcW w:w="5245" w:type="dxa"/>
          </w:tcPr>
          <w:p w14:paraId="18134465" w14:textId="6DEE571A" w:rsidR="005815AE" w:rsidRPr="00600CF6" w:rsidRDefault="00600CF6">
            <w:pPr>
              <w:rPr>
                <w:lang w:val="ru-RU"/>
              </w:rPr>
            </w:pPr>
            <w:r w:rsidRPr="00600CF6">
              <w:rPr>
                <w:lang w:val="ru-RU"/>
              </w:rPr>
              <w:t>- Мемлекеттік сатып алулар бойынша шешім қабылдау функцияларын іске асыруға бағытталған іс-шараларды жүзеге асыру; - Мекеме қызметкерлерін тағайындау және қызметтен босату; - Марапаттау, төлемдер туралы шешім қабылдау және тәртіптік жаза қолдану; - Мекемеге бекітілген мүлікті басқару.</w:t>
            </w:r>
          </w:p>
        </w:tc>
        <w:tc>
          <w:tcPr>
            <w:tcW w:w="4666" w:type="dxa"/>
          </w:tcPr>
          <w:p w14:paraId="3633A165" w14:textId="003FA100" w:rsidR="005815AE" w:rsidRPr="00600CF6" w:rsidRDefault="00600CF6">
            <w:pPr>
              <w:rPr>
                <w:lang w:val="ru-RU"/>
              </w:rPr>
            </w:pPr>
            <w:r w:rsidRPr="00600CF6">
              <w:rPr>
                <w:lang w:val="ru-RU"/>
              </w:rPr>
              <w:t>1) Шешімдер қабылдау кезінде жеке және (немесе) заңды тұлғаларға заңсыз артықшылық көрсету; 2) Қызметтік және өзге де ақпаратты мүліктік және мүліктік емес пайда мен артықшылық алу мақсатында пайдалану;</w:t>
            </w:r>
          </w:p>
        </w:tc>
      </w:tr>
      <w:tr w:rsidR="005815AE" w:rsidRPr="00600CF6" w14:paraId="71E27687" w14:textId="77777777" w:rsidTr="00D616C7">
        <w:tc>
          <w:tcPr>
            <w:tcW w:w="704" w:type="dxa"/>
          </w:tcPr>
          <w:p w14:paraId="67A701BD" w14:textId="63BDD02F" w:rsidR="005815AE" w:rsidRPr="005815AE" w:rsidRDefault="005815AE">
            <w:pPr>
              <w:rPr>
                <w:lang w:val="ru-RU"/>
              </w:rPr>
            </w:pPr>
          </w:p>
        </w:tc>
        <w:tc>
          <w:tcPr>
            <w:tcW w:w="2977" w:type="dxa"/>
          </w:tcPr>
          <w:p w14:paraId="0CFAA560" w14:textId="6A65AA71" w:rsidR="005815AE" w:rsidRPr="005815AE" w:rsidRDefault="00600CF6">
            <w:pPr>
              <w:rPr>
                <w:lang w:val="ru-RU"/>
              </w:rPr>
            </w:pPr>
            <w:r w:rsidRPr="00600CF6">
              <w:t>Бас бухгалтер</w:t>
            </w:r>
          </w:p>
        </w:tc>
        <w:tc>
          <w:tcPr>
            <w:tcW w:w="5245" w:type="dxa"/>
          </w:tcPr>
          <w:p w14:paraId="06A71511" w14:textId="0584B3B8" w:rsidR="005815AE" w:rsidRPr="00600CF6" w:rsidRDefault="00600CF6">
            <w:pPr>
              <w:rPr>
                <w:lang w:val="ru-RU"/>
              </w:rPr>
            </w:pPr>
            <w:r w:rsidRPr="00600CF6">
              <w:rPr>
                <w:lang w:val="ru-RU"/>
              </w:rPr>
              <w:t>Құжаттардың уақытылы және дұрыс ресімделуін, қаржылық операциялардың заңдылығын алдын ала бақылау. Бюджет бойынша бекітілген қаржыландыру жоспарларына сәйкес қаражаттың дұрыс және тиімді жұмсалуын, сондай-ақ ақша қаражаты мен материалдық құндылықтардың сақталуын бақылау.</w:t>
            </w:r>
          </w:p>
        </w:tc>
        <w:tc>
          <w:tcPr>
            <w:tcW w:w="4666" w:type="dxa"/>
          </w:tcPr>
          <w:p w14:paraId="52DFE1B3" w14:textId="0BEABBF2" w:rsidR="005815AE" w:rsidRPr="00600CF6" w:rsidRDefault="00600CF6">
            <w:pPr>
              <w:rPr>
                <w:lang w:val="ru-RU"/>
              </w:rPr>
            </w:pPr>
            <w:r w:rsidRPr="00600CF6">
              <w:rPr>
                <w:lang w:val="ru-RU"/>
              </w:rPr>
              <w:t>1) Шешімдер қабылдау кезінде жеке және (немесе) заңды тұлғаларға заңсыз артықшылық көрсету; 2) Қызметтік және өзге де ақпаратты мүліктік және мүліктік емес пайда мен артықшылық алу мақсатында пайдалану;</w:t>
            </w:r>
          </w:p>
        </w:tc>
      </w:tr>
      <w:tr w:rsidR="005815AE" w:rsidRPr="00600CF6" w14:paraId="33697AEC" w14:textId="77777777" w:rsidTr="00D616C7">
        <w:tc>
          <w:tcPr>
            <w:tcW w:w="704" w:type="dxa"/>
          </w:tcPr>
          <w:p w14:paraId="17EA0578" w14:textId="301740EA" w:rsidR="005815AE" w:rsidRPr="005815AE" w:rsidRDefault="005815AE">
            <w:pPr>
              <w:rPr>
                <w:lang w:val="ru-RU"/>
              </w:rPr>
            </w:pPr>
          </w:p>
        </w:tc>
        <w:tc>
          <w:tcPr>
            <w:tcW w:w="2977" w:type="dxa"/>
          </w:tcPr>
          <w:p w14:paraId="07E079C7" w14:textId="1E0152FE" w:rsidR="005815AE" w:rsidRPr="005815AE" w:rsidRDefault="00600CF6">
            <w:pPr>
              <w:rPr>
                <w:lang w:val="ru-RU"/>
              </w:rPr>
            </w:pPr>
            <w:r w:rsidRPr="00600CF6">
              <w:t>Шаруашылық меңгерушісі</w:t>
            </w:r>
          </w:p>
        </w:tc>
        <w:tc>
          <w:tcPr>
            <w:tcW w:w="5245" w:type="dxa"/>
          </w:tcPr>
          <w:p w14:paraId="49AC8F13" w14:textId="0F9F5017" w:rsidR="008233ED" w:rsidRPr="00600CF6" w:rsidRDefault="00600CF6">
            <w:pPr>
              <w:rPr>
                <w:lang w:val="ru-RU"/>
              </w:rPr>
            </w:pPr>
            <w:r w:rsidRPr="00600CF6">
              <w:rPr>
                <w:lang w:val="ru-RU"/>
              </w:rPr>
              <w:t>Жарықтандыру құралдарының, өртке қарсы және күзет дабылының, жылыту, желдету, су құбыры және кәріз жүйесінің жағдайын бақылау. Жөндеу жұмыстарының акт бойынша орындалуын және сапасын бақылау, жөндеу жұмыстарын ұйымдастыру және жоспарлау. Кеңсе тауарлары мен шаруашылық материалдармен қамтамасыз ету, оларды қабылдау, сақтау және шығынын есепке алу.</w:t>
            </w:r>
          </w:p>
        </w:tc>
        <w:tc>
          <w:tcPr>
            <w:tcW w:w="4666" w:type="dxa"/>
          </w:tcPr>
          <w:p w14:paraId="7BF9A630" w14:textId="271D21E3" w:rsidR="005815AE" w:rsidRPr="00600CF6" w:rsidRDefault="00600CF6" w:rsidP="008233ED">
            <w:pPr>
              <w:rPr>
                <w:lang w:val="ru-RU"/>
              </w:rPr>
            </w:pPr>
            <w:r w:rsidRPr="00600CF6">
              <w:rPr>
                <w:lang w:val="ru-RU"/>
              </w:rPr>
              <w:t>1) Шешімдер қабылдау кезінде жеке және (немесе) заңды тұлғаларға заңсыз артықшылық көрсету; 2) Қызметтік және өзге де ақпаратты мүліктік және мүліктік емес пайда мен артықшылық алу мақсатында пайдалану;</w:t>
            </w:r>
          </w:p>
        </w:tc>
      </w:tr>
      <w:tr w:rsidR="005815AE" w:rsidRPr="00600CF6" w14:paraId="609DEC82" w14:textId="77777777" w:rsidTr="00D616C7">
        <w:tc>
          <w:tcPr>
            <w:tcW w:w="704" w:type="dxa"/>
          </w:tcPr>
          <w:p w14:paraId="709D7065" w14:textId="28830B2B" w:rsidR="005815AE" w:rsidRPr="005815AE" w:rsidRDefault="005815AE">
            <w:pPr>
              <w:rPr>
                <w:lang w:val="ru-RU"/>
              </w:rPr>
            </w:pPr>
          </w:p>
        </w:tc>
        <w:tc>
          <w:tcPr>
            <w:tcW w:w="2977" w:type="dxa"/>
          </w:tcPr>
          <w:p w14:paraId="62EDC987" w14:textId="572E6F32" w:rsidR="005815AE" w:rsidRPr="005815AE" w:rsidRDefault="00600CF6">
            <w:pPr>
              <w:rPr>
                <w:lang w:val="ru-RU"/>
              </w:rPr>
            </w:pPr>
            <w:r w:rsidRPr="00600CF6">
              <w:t>Қорлардың бас сақтаушысы</w:t>
            </w:r>
          </w:p>
        </w:tc>
        <w:tc>
          <w:tcPr>
            <w:tcW w:w="5245" w:type="dxa"/>
          </w:tcPr>
          <w:p w14:paraId="57591D2E" w14:textId="01A366FE" w:rsidR="005815AE" w:rsidRPr="00600CF6" w:rsidRDefault="00600CF6">
            <w:pPr>
              <w:rPr>
                <w:lang w:val="ru-RU"/>
              </w:rPr>
            </w:pPr>
            <w:r w:rsidRPr="00600CF6">
              <w:rPr>
                <w:lang w:val="ru-RU"/>
              </w:rPr>
              <w:t xml:space="preserve">Реставрацияны қажет ететін экспонаттарды іріктеу. Қорлардың сақталуын қамтамасыз етуге бағытталған профилактикалық шараларды ұйымдастыру. Қор бөлімінің </w:t>
            </w:r>
            <w:r w:rsidRPr="00600CF6">
              <w:rPr>
                <w:lang w:val="ru-RU"/>
              </w:rPr>
              <w:lastRenderedPageBreak/>
              <w:t>жұмысын жоспарлау, реставрация жұмыстарының кестесін жасау, қажетті материалдар мен құралдарға уақытылы тапсырыс беру.</w:t>
            </w:r>
          </w:p>
        </w:tc>
        <w:tc>
          <w:tcPr>
            <w:tcW w:w="4666" w:type="dxa"/>
          </w:tcPr>
          <w:p w14:paraId="10C13F16" w14:textId="62B7103C" w:rsidR="005815AE" w:rsidRPr="00600CF6" w:rsidRDefault="00600CF6" w:rsidP="008233ED">
            <w:pPr>
              <w:rPr>
                <w:lang w:val="ru-RU"/>
              </w:rPr>
            </w:pPr>
            <w:r w:rsidRPr="00600CF6">
              <w:rPr>
                <w:lang w:val="ru-RU"/>
              </w:rPr>
              <w:lastRenderedPageBreak/>
              <w:t xml:space="preserve">1) Шешімдер қабылдау кезінде жеке және (немесе) заңды тұлғаларға заңсыз артықшылық көрсету; 2) Қызметтік және өзге де ақпаратты мүліктік және мүліктік </w:t>
            </w:r>
            <w:r w:rsidRPr="00600CF6">
              <w:rPr>
                <w:lang w:val="ru-RU"/>
              </w:rPr>
              <w:lastRenderedPageBreak/>
              <w:t>емес пайда мен артықшылық алу мақсатында пайдалану</w:t>
            </w:r>
            <w:r>
              <w:rPr>
                <w:lang w:val="ru-RU"/>
              </w:rPr>
              <w:t>.</w:t>
            </w:r>
          </w:p>
        </w:tc>
      </w:tr>
    </w:tbl>
    <w:p w14:paraId="0941F14B" w14:textId="77777777" w:rsidR="00E936CE" w:rsidRPr="00600CF6" w:rsidRDefault="00E936CE">
      <w:pPr>
        <w:rPr>
          <w:lang w:val="ru-RU"/>
        </w:rPr>
      </w:pPr>
    </w:p>
    <w:sectPr w:rsidR="00E936CE" w:rsidRPr="00600CF6" w:rsidSect="005815AE">
      <w:pgSz w:w="15840" w:h="12240"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955150"/>
    <w:multiLevelType w:val="multilevel"/>
    <w:tmpl w:val="7F54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48741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3CE"/>
    <w:rsid w:val="00267B4B"/>
    <w:rsid w:val="00456CF5"/>
    <w:rsid w:val="0050671A"/>
    <w:rsid w:val="005815AE"/>
    <w:rsid w:val="00600CF6"/>
    <w:rsid w:val="008233ED"/>
    <w:rsid w:val="009B7637"/>
    <w:rsid w:val="00A92494"/>
    <w:rsid w:val="00D143CE"/>
    <w:rsid w:val="00D616C7"/>
    <w:rsid w:val="00E93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18720"/>
  <w15:chartTrackingRefBased/>
  <w15:docId w15:val="{897FA532-E14C-4503-B76B-BADFC2C4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143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143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143C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143C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143C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143C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143C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143C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143C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43C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143C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143C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143C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143C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143C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143CE"/>
    <w:rPr>
      <w:rFonts w:eastAsiaTheme="majorEastAsia" w:cstheme="majorBidi"/>
      <w:color w:val="595959" w:themeColor="text1" w:themeTint="A6"/>
    </w:rPr>
  </w:style>
  <w:style w:type="character" w:customStyle="1" w:styleId="80">
    <w:name w:val="Заголовок 8 Знак"/>
    <w:basedOn w:val="a0"/>
    <w:link w:val="8"/>
    <w:uiPriority w:val="9"/>
    <w:semiHidden/>
    <w:rsid w:val="00D143C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143CE"/>
    <w:rPr>
      <w:rFonts w:eastAsiaTheme="majorEastAsia" w:cstheme="majorBidi"/>
      <w:color w:val="272727" w:themeColor="text1" w:themeTint="D8"/>
    </w:rPr>
  </w:style>
  <w:style w:type="paragraph" w:styleId="a3">
    <w:name w:val="Title"/>
    <w:basedOn w:val="a"/>
    <w:next w:val="a"/>
    <w:link w:val="a4"/>
    <w:uiPriority w:val="10"/>
    <w:qFormat/>
    <w:rsid w:val="00D143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143C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143C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143C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143CE"/>
    <w:pPr>
      <w:spacing w:before="160"/>
      <w:jc w:val="center"/>
    </w:pPr>
    <w:rPr>
      <w:i/>
      <w:iCs/>
      <w:color w:val="404040" w:themeColor="text1" w:themeTint="BF"/>
    </w:rPr>
  </w:style>
  <w:style w:type="character" w:customStyle="1" w:styleId="22">
    <w:name w:val="Цитата 2 Знак"/>
    <w:basedOn w:val="a0"/>
    <w:link w:val="21"/>
    <w:uiPriority w:val="29"/>
    <w:rsid w:val="00D143CE"/>
    <w:rPr>
      <w:i/>
      <w:iCs/>
      <w:color w:val="404040" w:themeColor="text1" w:themeTint="BF"/>
    </w:rPr>
  </w:style>
  <w:style w:type="paragraph" w:styleId="a7">
    <w:name w:val="List Paragraph"/>
    <w:basedOn w:val="a"/>
    <w:uiPriority w:val="34"/>
    <w:qFormat/>
    <w:rsid w:val="00D143CE"/>
    <w:pPr>
      <w:ind w:left="720"/>
      <w:contextualSpacing/>
    </w:pPr>
  </w:style>
  <w:style w:type="character" w:styleId="a8">
    <w:name w:val="Intense Emphasis"/>
    <w:basedOn w:val="a0"/>
    <w:uiPriority w:val="21"/>
    <w:qFormat/>
    <w:rsid w:val="00D143CE"/>
    <w:rPr>
      <w:i/>
      <w:iCs/>
      <w:color w:val="0F4761" w:themeColor="accent1" w:themeShade="BF"/>
    </w:rPr>
  </w:style>
  <w:style w:type="paragraph" w:styleId="a9">
    <w:name w:val="Intense Quote"/>
    <w:basedOn w:val="a"/>
    <w:next w:val="a"/>
    <w:link w:val="aa"/>
    <w:uiPriority w:val="30"/>
    <w:qFormat/>
    <w:rsid w:val="00D143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143CE"/>
    <w:rPr>
      <w:i/>
      <w:iCs/>
      <w:color w:val="0F4761" w:themeColor="accent1" w:themeShade="BF"/>
    </w:rPr>
  </w:style>
  <w:style w:type="character" w:styleId="ab">
    <w:name w:val="Intense Reference"/>
    <w:basedOn w:val="a0"/>
    <w:uiPriority w:val="32"/>
    <w:qFormat/>
    <w:rsid w:val="00D143CE"/>
    <w:rPr>
      <w:b/>
      <w:bCs/>
      <w:smallCaps/>
      <w:color w:val="0F4761" w:themeColor="accent1" w:themeShade="BF"/>
      <w:spacing w:val="5"/>
    </w:rPr>
  </w:style>
  <w:style w:type="table" w:styleId="ac">
    <w:name w:val="Table Grid"/>
    <w:basedOn w:val="a1"/>
    <w:uiPriority w:val="39"/>
    <w:rsid w:val="005815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064381">
      <w:bodyDiv w:val="1"/>
      <w:marLeft w:val="0"/>
      <w:marRight w:val="0"/>
      <w:marTop w:val="0"/>
      <w:marBottom w:val="0"/>
      <w:divBdr>
        <w:top w:val="none" w:sz="0" w:space="0" w:color="auto"/>
        <w:left w:val="none" w:sz="0" w:space="0" w:color="auto"/>
        <w:bottom w:val="none" w:sz="0" w:space="0" w:color="auto"/>
        <w:right w:val="none" w:sz="0" w:space="0" w:color="auto"/>
      </w:divBdr>
    </w:div>
    <w:div w:id="607353910">
      <w:bodyDiv w:val="1"/>
      <w:marLeft w:val="0"/>
      <w:marRight w:val="0"/>
      <w:marTop w:val="0"/>
      <w:marBottom w:val="0"/>
      <w:divBdr>
        <w:top w:val="none" w:sz="0" w:space="0" w:color="auto"/>
        <w:left w:val="none" w:sz="0" w:space="0" w:color="auto"/>
        <w:bottom w:val="none" w:sz="0" w:space="0" w:color="auto"/>
        <w:right w:val="none" w:sz="0" w:space="0" w:color="auto"/>
      </w:divBdr>
    </w:div>
    <w:div w:id="775251250">
      <w:bodyDiv w:val="1"/>
      <w:marLeft w:val="0"/>
      <w:marRight w:val="0"/>
      <w:marTop w:val="0"/>
      <w:marBottom w:val="0"/>
      <w:divBdr>
        <w:top w:val="none" w:sz="0" w:space="0" w:color="auto"/>
        <w:left w:val="none" w:sz="0" w:space="0" w:color="auto"/>
        <w:bottom w:val="none" w:sz="0" w:space="0" w:color="auto"/>
        <w:right w:val="none" w:sz="0" w:space="0" w:color="auto"/>
      </w:divBdr>
    </w:div>
    <w:div w:id="1246917431">
      <w:bodyDiv w:val="1"/>
      <w:marLeft w:val="0"/>
      <w:marRight w:val="0"/>
      <w:marTop w:val="0"/>
      <w:marBottom w:val="0"/>
      <w:divBdr>
        <w:top w:val="none" w:sz="0" w:space="0" w:color="auto"/>
        <w:left w:val="none" w:sz="0" w:space="0" w:color="auto"/>
        <w:bottom w:val="none" w:sz="0" w:space="0" w:color="auto"/>
        <w:right w:val="none" w:sz="0" w:space="0" w:color="auto"/>
      </w:divBdr>
    </w:div>
    <w:div w:id="1292442122">
      <w:bodyDiv w:val="1"/>
      <w:marLeft w:val="0"/>
      <w:marRight w:val="0"/>
      <w:marTop w:val="0"/>
      <w:marBottom w:val="0"/>
      <w:divBdr>
        <w:top w:val="none" w:sz="0" w:space="0" w:color="auto"/>
        <w:left w:val="none" w:sz="0" w:space="0" w:color="auto"/>
        <w:bottom w:val="none" w:sz="0" w:space="0" w:color="auto"/>
        <w:right w:val="none" w:sz="0" w:space="0" w:color="auto"/>
      </w:divBdr>
    </w:div>
    <w:div w:id="1518231090">
      <w:bodyDiv w:val="1"/>
      <w:marLeft w:val="0"/>
      <w:marRight w:val="0"/>
      <w:marTop w:val="0"/>
      <w:marBottom w:val="0"/>
      <w:divBdr>
        <w:top w:val="none" w:sz="0" w:space="0" w:color="auto"/>
        <w:left w:val="none" w:sz="0" w:space="0" w:color="auto"/>
        <w:bottom w:val="none" w:sz="0" w:space="0" w:color="auto"/>
        <w:right w:val="none" w:sz="0" w:space="0" w:color="auto"/>
      </w:divBdr>
    </w:div>
    <w:div w:id="1581056884">
      <w:bodyDiv w:val="1"/>
      <w:marLeft w:val="0"/>
      <w:marRight w:val="0"/>
      <w:marTop w:val="0"/>
      <w:marBottom w:val="0"/>
      <w:divBdr>
        <w:top w:val="none" w:sz="0" w:space="0" w:color="auto"/>
        <w:left w:val="none" w:sz="0" w:space="0" w:color="auto"/>
        <w:bottom w:val="none" w:sz="0" w:space="0" w:color="auto"/>
        <w:right w:val="none" w:sz="0" w:space="0" w:color="auto"/>
      </w:divBdr>
    </w:div>
    <w:div w:id="180631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Saduev, Zhanbota (Altyntau-Kokshetau - KZ)</dc:creator>
  <cp:keywords/>
  <dc:description/>
  <cp:lastModifiedBy>Saduev, Zhanbota (Altyntau-Kokshetau - KZ)</cp:lastModifiedBy>
  <cp:revision>6</cp:revision>
  <dcterms:created xsi:type="dcterms:W3CDTF">2025-05-13T06:36:00Z</dcterms:created>
  <dcterms:modified xsi:type="dcterms:W3CDTF">2025-05-13T07:29:00Z</dcterms:modified>
</cp:coreProperties>
</file>